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投标文件一式两份（可装入一个档案袋），所有材料须加盖公章，并按以上顺序装订及装袋密封，贴密封条盖密封章。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</w:p>
    <w:tbl>
      <w:tblPr>
        <w:tblStyle w:val="7"/>
        <w:tblW w:w="10082" w:type="dxa"/>
        <w:tblInd w:w="-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4"/>
        <w:gridCol w:w="1265"/>
        <w:gridCol w:w="1881"/>
        <w:gridCol w:w="1543"/>
        <w:gridCol w:w="77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40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车牌号</w:t>
            </w:r>
          </w:p>
        </w:tc>
        <w:tc>
          <w:tcPr>
            <w:tcW w:w="77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15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14天内是否有风险地区史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4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项目采购活动。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授权权限：全权代表本公司参与上述采购活动，并负责与本项目相关的一切事宜，其签字与我司公章具有相同的法律效力。有效期限：本项目采购活动结束为止，自法定代表人签字（私章）之日起生效。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投标人诚信守法承诺书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项目的采购活动中，郑重承诺如下：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征集公告》的所有内容，同意所有内容并决定参与投标。我方投标书中的报价不能构成我方向贵方寻求对其中任何错误、漏项、风险不足进行补偿的依据或借口，我方在投标书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我方在本次采购活动中提交的所有资料都是真实、准确完整的，如发现提供虚假资料，或与事实不符而导致投标无效，甚至造成任何法律和经济责任，完全由我方负责；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我方在参加本次采购活动的前三年内，在经营活动中没有重大违法记录，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我方一旦中标，将在中标通知书发出之日起10个日历天内（以电子邮箱收到中标通知书扫描件的日期为准）与贵方签订合同。如因我方原因导致逾期未签定合同，将视为自动放弃中标资格；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我方一旦中标，对本项目提供的所有货物保证货源为合格的全新正品，并严格按照投标文件中所承诺的报价、质量、供货期（工期）、措施等内容组织实施。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我方在本次投标活动中绝无资质挂靠、串标、围标情形，若出现下列情形，立即取消我方投标或中标资格并承担相应的法律责任；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（1）不同投标人的投标文件由同一单位或者个人编制；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（2）不同投标人委托同一单位或者个人办理投标事宜；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（3）不同投标人的投标文件载明的项目管理成员或者联系人员为同一人；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（4）不同投标人的投标文件异常一致或者投标报价呈规律性差异；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（5）不同投标人的投标文件相互混装；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（6）单位负责人为同一人或者存在直接控股、管理关系的不同供应商，同时参加本项目采购活动；根据国家企业信用信息公示系统（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6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6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投标人名称：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sectPr>
          <w:pgSz w:w="11905" w:h="16838"/>
          <w:pgMar w:top="1440" w:right="1803" w:bottom="1440" w:left="1803" w:header="720" w:footer="720" w:gutter="0"/>
          <w:cols w:space="0" w:num="1"/>
          <w:rtlGutter w:val="0"/>
          <w:docGrid w:type="lines" w:linePitch="317" w:charSpace="0"/>
        </w:sect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学生宿舍家具样品报价表</w:t>
      </w:r>
    </w:p>
    <w:tbl>
      <w:tblPr>
        <w:tblStyle w:val="6"/>
        <w:tblW w:w="13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24"/>
        <w:gridCol w:w="3150"/>
        <w:gridCol w:w="3247"/>
        <w:gridCol w:w="686"/>
        <w:gridCol w:w="882"/>
        <w:gridCol w:w="1386"/>
        <w:gridCol w:w="1511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eastAsia="zh-CN"/>
              </w:rPr>
              <w:t>货物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采购需求</w:t>
            </w:r>
          </w:p>
        </w:tc>
        <w:tc>
          <w:tcPr>
            <w:tcW w:w="77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响应内容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需求响应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单价（元）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金额（元）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单人宿舍书桌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实木，1000*500*760mm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1张/间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1.实木：采用实木（橡木），木材经干燥、防虫、防腐处理；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3.五金配件：优质五金配件。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单人宿舍椅子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实木框架，海绵坐垫，实木靠背，2张/间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实木：采用实木（橡木），符合GB 18584-200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面材：选用PU革。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内部材质：海绵。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油漆：采用环保水性油漆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，硬度（擦伤）≥4H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五金配件：优质五金配件。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单人宿舍木床（含床垫）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板木结合，自带靠背，1200*2000mm；弹簧床垫1张，一面软一面硬，1张/间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1.实木：采用实木（橡木），木材经干燥、防虫、防腐处理，符合GB 18584-2001.GB/T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3.五金配件：优质五金配件。                          床垫1.面料采用优质强力棉质针织布；                            2.蛇形弹打底：要求蛇形弹簧。                                              3.床网打底使用环保硬质棉；面料与海绵粘接部分采用名优品牌环保胶水，零甲醛，没有任何异味                                 4.弹簧四周角使用泡沫定型管，防止磕碰；                          5.舒适层采用高密度回弹海绵，无异味，可单面加棕。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单人宿舍衣柜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实木衣柜，1200*600*2000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，1个/间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1.基材：选用实木（橡木）加多层板；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2.门板采用实木（橡木）：木材经干燥、防虫、防腐处理，符合GB 18584-2001.GB/T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3.柜体采用多层板：板材满足GB 18580-2017要求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4.面材：多层板贴皮，满足GB 18580-2017要求。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5.油漆：采用环保水性油漆，硬度（擦伤）≥4H。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五金配件包含：阻尼滑轨、铰链、锁具、三合一连接件等。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床头柜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400*400*480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实木，单抽屉，下层开放，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鞋柜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900*300*700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多层板，上层双开门，活动隔板≥3，下层开放空间≥140mm高，柜脚≥100mm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双人间宿舍书桌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实木，1000*500*760mm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1.实木：采用实木（橡木），木材经干燥、防虫、防腐处理，含水率8~18.3%，无裂缝、无虫蛀、无腐朽木材，符合GB 18584-2001.GB/T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3.五金配件：优质五金配件。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双人间宿舍椅子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实木框架，海绵坐垫，实木靠背，2张/间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实木：采用实木（橡木），木材经干燥、防虫、防腐处理，符合GB 18584-200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面材：选用PU革。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内部材质：海绵。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油漆：采用环保水性油漆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五金配件：优质五金配件。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双人间宿舍衣柜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实木衣柜，1000*600*2000，2个/间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1.基材：选用实木（橡木）加多层板；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2.门板采用实木（橡木）：木材经干燥、防虫、防腐处理，符合GB 18584-2001.GB/T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3.柜体采用多层板：板材满足GB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18580-2017要求。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4.面材：多层板贴皮，满足GB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18580-2017要求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5.油漆：采用环保水性油漆，硬度（擦伤）≥4H。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五金配件包含：阻尼滑轨、铰链、锁具、三合一连接件等。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双人间宿舍木床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板木结合，自带靠背，1200*2000mm；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实木：采用实木（橡木），木材经干燥、防虫、防腐处理，符合GB 18584-200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 xml:space="preserve">五金配件：优质五金配件。 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双人间宿舍床垫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弹簧床垫1张，一面软一面硬，2张/间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1.面料采用优质强力棉质针织布；                            2.蛇形弹打底：要求蛇形弹簧；                                              3.床网打底使用450克环保硬质棉；面料与海绵粘接部分采用名优品牌环保胶水，零甲醛，没有任何异味                                 4.弹簧四周角使用泡沫定型管，防止磕碰；                          5.舒适层采用高密度回弹海绵，无异味，可单面加棕。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双人间宿舍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鞋柜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900*300*700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多层板，上层双开门，活动隔板≥3，下层开放空间≥140mm高，柜脚≥100mm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单人套间书桌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实木，900*600*700mm，1张/间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1.实木：采用实木（橡木），木材经干燥、防虫、防腐处理，符合GB 18584-2001.GB/T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3.五金配件：优质五金配件。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单人套间椅子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实木框架，海绵坐垫，2张/间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1.实木：采用实木（橡木），木材经干燥、防虫、防腐处理，符合GB 18584-2001.GB/T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2.面材：选用PU革。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3.内部材质：海绵。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5.五金配件：优质五金配件。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单人套间木床（含床垫）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实木床，自带靠背，1500*2000mm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1张/间；弹簧床垫，一面软一面硬，1张/间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1.实木：采用实木（橡木），木材经干燥、防虫、防腐处理，符合GB 18584-2001.GB/T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 xml:space="preserve">3.五金配件：优质五金配件。    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单人套间衣柜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实木，1600*600*2000mm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1个/间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基材：选用实木（橡木）加多层板；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门板采用实木（橡木）：木材经干燥、防虫、防腐处理，符合GB 18584-200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柜体采用多层板：板材满足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GB 18580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-2017要求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面材：多层板贴皮，满足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GB 18580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-2017要求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油漆：采用环保水性油漆，硬度（擦伤）≥4H。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五金配件包含：阻尼滑轨、铰链、锁具、三合一连接件等。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单人套间沙发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3人位，实木框架，海绵坐垫靠垫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面材：坐板采用阻燃面料，透气性强，手感良好，燃烧性能（B2级）合格，符合GB/T 17591-2006阻燃织物标准，靠背采用网布，甲醛含量未检测出，可分解致癌芳香胺染料未检测出，符合:GB 18401-2010《国家纺织产品基本安全技术规范》。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海绵：采用高弹海绵，无刺激性气味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打底：高弹力独立弹簧和专用弹性绷带作为托承；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框架：采用实木（橡木），木材经干燥、防虫、防腐处理，无虫蛀、无腐朽木材，符合GB 18584-200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GB/T 1931-2009等标准；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单人套间电视柜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实木，1600*4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0*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0mm，至少2抽屉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实木：采用实木（橡木），木材经干燥、防虫、防腐处理，符合GB 18584-200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油漆：采用环保水性油漆，硬度（擦伤）≥4H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五金配件：优质五金配件。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件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</w:rPr>
              <w:t>单人套间餐桌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实木，餐桌1200*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00*750mm，餐椅实木框架+海绵坐垫靠垫，410*390*820mm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餐桌：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基材：选用实木（橡木）加多层板；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桌脚采用实木（橡木）：木材经干燥、防虫、防腐处理，符合GB 18584-200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桌面：选用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浸渍胶膜纸饰面刨花板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油漆：采用环保水性油漆，挥发性有机化合物含量，硬度（擦伤）≥4H。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餐椅：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实木：采用实木（橡木），木材经干燥、防虫、防腐处理，符合GB 18584-200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GB/T 1931-2009等标准；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面材：选用PU革。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内部材质：海绵。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油漆：采用环保水性油漆，硬度（擦伤）≥4H，苯系物含量未检出。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五金配件：优质五金配件。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单人套间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鞋柜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900*300*700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多层板，上层双开门，活动隔板≥3，下层开放空间≥140mm高，柜脚≥100mm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个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搬运费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从一楼搬运上楼并布置。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项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585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</w:rPr>
        <w:t>备注：</w:t>
      </w:r>
      <w:r>
        <w:rPr>
          <w:rFonts w:hint="default" w:ascii="Times New Roman" w:hAnsi="Times New Roman" w:eastAsia="宋体" w:cs="Times New Roman"/>
          <w:color w:val="auto"/>
        </w:rPr>
        <w:t>1、</w:t>
      </w:r>
      <w:r>
        <w:rPr>
          <w:rFonts w:hint="default" w:ascii="Times New Roman" w:hAnsi="Times New Roman" w:eastAsia="宋体" w:cs="Times New Roman"/>
          <w:color w:val="auto"/>
          <w:kern w:val="0"/>
        </w:rPr>
        <w:t>需提供的材料：报价表（盖章）</w:t>
      </w:r>
      <w:r>
        <w:rPr>
          <w:rFonts w:hint="default" w:ascii="Times New Roman" w:hAnsi="Times New Roman" w:eastAsia="宋体" w:cs="Times New Roman"/>
          <w:color w:val="auto"/>
          <w:kern w:val="0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kern w:val="0"/>
          <w:lang w:val="en-US" w:eastAsia="zh-CN"/>
        </w:rPr>
        <w:t>营业执照复印件</w:t>
      </w:r>
      <w:r>
        <w:rPr>
          <w:rFonts w:hint="default" w:ascii="Times New Roman" w:hAnsi="Times New Roman" w:eastAsia="宋体" w:cs="Times New Roman"/>
          <w:color w:val="auto"/>
          <w:kern w:val="0"/>
          <w:lang w:eastAsia="zh-CN"/>
        </w:rPr>
        <w:t>。</w:t>
      </w:r>
    </w:p>
    <w:p>
      <w:pPr>
        <w:numPr>
          <w:ilvl w:val="0"/>
          <w:numId w:val="3"/>
        </w:numPr>
        <w:ind w:left="720" w:leftChars="0" w:right="0" w:firstLine="0" w:firstLineChars="0"/>
        <w:jc w:val="left"/>
        <w:rPr>
          <w:rFonts w:hint="default" w:ascii="Times New Roman" w:hAnsi="Times New Roman" w:eastAsia="宋体" w:cs="Times New Roman"/>
          <w:color w:val="auto"/>
          <w:kern w:val="0"/>
        </w:rPr>
      </w:pPr>
      <w:r>
        <w:rPr>
          <w:rFonts w:hint="default" w:ascii="Times New Roman" w:hAnsi="Times New Roman" w:eastAsia="宋体" w:cs="Times New Roman"/>
          <w:color w:val="auto"/>
          <w:kern w:val="0"/>
        </w:rPr>
        <w:t>采购控制价：</w:t>
      </w:r>
      <w:r>
        <w:rPr>
          <w:rFonts w:hint="default" w:ascii="Times New Roman" w:hAnsi="Times New Roman" w:eastAsia="宋体" w:cs="Times New Roman"/>
          <w:color w:val="auto"/>
          <w:kern w:val="0"/>
          <w:lang w:val="en-US" w:eastAsia="zh-CN"/>
        </w:rPr>
        <w:t>26000.00</w:t>
      </w:r>
      <w:r>
        <w:rPr>
          <w:rFonts w:hint="default" w:ascii="Times New Roman" w:hAnsi="Times New Roman" w:eastAsia="宋体" w:cs="Times New Roman"/>
          <w:color w:val="auto"/>
          <w:kern w:val="0"/>
        </w:rPr>
        <w:t>元，报价超出控制价的视为无效报价。</w:t>
      </w:r>
    </w:p>
    <w:p>
      <w:pPr>
        <w:ind w:left="8759" w:leftChars="3826" w:right="1457" w:hanging="724" w:hangingChars="345"/>
        <w:rPr>
          <w:rFonts w:hint="default" w:ascii="Times New Roman" w:hAnsi="Times New Roman" w:eastAsia="宋体" w:cs="Times New Roman"/>
          <w:color w:val="auto"/>
          <w:kern w:val="0"/>
        </w:rPr>
      </w:pPr>
      <w:r>
        <w:rPr>
          <w:rFonts w:hint="default" w:ascii="Times New Roman" w:hAnsi="Times New Roman" w:eastAsia="宋体" w:cs="Times New Roman"/>
          <w:color w:val="auto"/>
          <w:kern w:val="0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kern w:val="0"/>
        </w:rPr>
        <w:t>单位（盖单）：</w:t>
      </w:r>
    </w:p>
    <w:p>
      <w:pPr>
        <w:ind w:left="8759" w:leftChars="3826" w:right="1457" w:hanging="724" w:hangingChars="345"/>
        <w:rPr>
          <w:rFonts w:hint="default" w:ascii="Times New Roman" w:hAnsi="Times New Roman" w:eastAsia="宋体" w:cs="Times New Roman"/>
          <w:color w:val="auto"/>
          <w:kern w:val="0"/>
        </w:rPr>
      </w:pPr>
      <w:r>
        <w:rPr>
          <w:rFonts w:hint="default" w:ascii="Times New Roman" w:hAnsi="Times New Roman" w:eastAsia="宋体" w:cs="Times New Roman"/>
          <w:color w:val="auto"/>
          <w:kern w:val="0"/>
        </w:rPr>
        <w:t>联系人：</w:t>
      </w:r>
    </w:p>
    <w:p>
      <w:pPr>
        <w:ind w:left="8759" w:leftChars="3826" w:right="1457" w:hanging="724" w:hangingChars="345"/>
        <w:rPr>
          <w:rFonts w:hint="default" w:ascii="Times New Roman" w:hAnsi="Times New Roman" w:eastAsia="宋体" w:cs="Times New Roman"/>
          <w:color w:val="auto"/>
          <w:kern w:val="0"/>
        </w:rPr>
      </w:pPr>
      <w:r>
        <w:rPr>
          <w:rFonts w:hint="default" w:ascii="Times New Roman" w:hAnsi="Times New Roman" w:eastAsia="宋体" w:cs="Times New Roman"/>
          <w:color w:val="auto"/>
          <w:kern w:val="0"/>
        </w:rPr>
        <w:t>电话：</w:t>
      </w:r>
    </w:p>
    <w:p>
      <w:pPr>
        <w:ind w:left="8759" w:leftChars="3826" w:right="124" w:hanging="724" w:hangingChars="345"/>
        <w:rPr>
          <w:rFonts w:hint="default" w:ascii="Times New Roman" w:hAnsi="Times New Roman" w:eastAsia="宋体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宋体" w:cs="Times New Roman"/>
          <w:color w:val="auto"/>
          <w:kern w:val="0"/>
        </w:rPr>
        <w:t>日期：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</w:rPr>
        <w:t>年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</w:rPr>
        <w:t>月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</w:rPr>
        <w:t>日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</w:pPr>
    </w:p>
    <w:sectPr>
      <w:pgSz w:w="16838" w:h="11905" w:orient="landscape"/>
      <w:pgMar w:top="1349" w:right="1440" w:bottom="1179" w:left="1440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F03C6"/>
    <w:multiLevelType w:val="singleLevel"/>
    <w:tmpl w:val="CE7F03C6"/>
    <w:lvl w:ilvl="0" w:tentative="0">
      <w:start w:val="2"/>
      <w:numFmt w:val="decimal"/>
      <w:suff w:val="nothing"/>
      <w:lvlText w:val="%1、"/>
      <w:lvlJc w:val="left"/>
      <w:pPr>
        <w:ind w:left="720" w:firstLine="0"/>
      </w:pPr>
    </w:lvl>
  </w:abstractNum>
  <w:abstractNum w:abstractNumId="1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NDg5MjBlNWFjYmU2ZDZiN2VkN2ZmYzNkODE2YTIifQ=="/>
  </w:docVars>
  <w:rsids>
    <w:rsidRoot w:val="00000000"/>
    <w:rsid w:val="01B247F7"/>
    <w:rsid w:val="043418CE"/>
    <w:rsid w:val="1DB04B77"/>
    <w:rsid w:val="2EDA6456"/>
    <w:rsid w:val="3FC7135E"/>
    <w:rsid w:val="62FB03FC"/>
    <w:rsid w:val="6AC01769"/>
    <w:rsid w:val="6F7D6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文字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文字 Char1"/>
    <w:basedOn w:val="8"/>
    <w:qFormat/>
    <w:uiPriority w:val="0"/>
    <w:rPr>
      <w:kern w:val="2"/>
      <w:sz w:val="21"/>
      <w:szCs w:val="24"/>
    </w:rPr>
  </w:style>
  <w:style w:type="paragraph" w:customStyle="1" w:styleId="13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3841</Words>
  <Characters>4802</Characters>
  <Lines>0</Lines>
  <Paragraphs>0</Paragraphs>
  <TotalTime>3</TotalTime>
  <ScaleCrop>false</ScaleCrop>
  <LinksUpToDate>false</LinksUpToDate>
  <CharactersWithSpaces>5429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LCX</cp:lastModifiedBy>
  <cp:lastPrinted>2022-05-30T09:39:00Z</cp:lastPrinted>
  <dcterms:modified xsi:type="dcterms:W3CDTF">2022-05-30T10:17:20Z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9F3868BB321A42C798031226CD8558F3</vt:lpwstr>
  </property>
</Properties>
</file>